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D4" w:rsidRPr="004879D4" w:rsidRDefault="004879D4">
      <w:pPr>
        <w:rPr>
          <w:b/>
        </w:rPr>
      </w:pPr>
      <w:r w:rsidRPr="004879D4">
        <w:rPr>
          <w:b/>
        </w:rPr>
        <w:t>ELEKTROWIN loni překročil kvótu na sběr a recyklaci vysloužilých spotřebičů</w:t>
      </w:r>
    </w:p>
    <w:p w:rsidR="00F264C7" w:rsidRDefault="00F264C7">
      <w:r>
        <w:t>Nad rámec požadavků vycházejících z platné evropské směrnice splnil v roce 2017 kvót</w:t>
      </w:r>
      <w:r w:rsidR="004879D4">
        <w:t>u</w:t>
      </w:r>
      <w:r>
        <w:t xml:space="preserve"> pro sběr a recyklaci vysloužilých spotřebičů kolektivní systém ELEKTROWIN. Podle platné metodiky výpočtu, která vychází z </w:t>
      </w:r>
      <w:r w:rsidRPr="00F264C7">
        <w:t>průměrné</w:t>
      </w:r>
      <w:r>
        <w:t>ho ročního</w:t>
      </w:r>
      <w:r w:rsidRPr="00F264C7">
        <w:t xml:space="preserve"> množství </w:t>
      </w:r>
      <w:r>
        <w:t xml:space="preserve">nového elektra </w:t>
      </w:r>
      <w:r w:rsidRPr="00F264C7">
        <w:t>uvedené</w:t>
      </w:r>
      <w:r>
        <w:t>ho</w:t>
      </w:r>
      <w:r w:rsidRPr="00F264C7">
        <w:t xml:space="preserve"> na trh za předchozí tři kalendářní roky</w:t>
      </w:r>
      <w:r>
        <w:t>, dosáhl</w:t>
      </w:r>
      <w:r w:rsidR="004E04C7">
        <w:t xml:space="preserve"> </w:t>
      </w:r>
      <w:r w:rsidR="004E04C7" w:rsidRPr="004E04C7">
        <w:t>míry zpětného odběru ve výši 45,19</w:t>
      </w:r>
      <w:r w:rsidR="004E04C7">
        <w:t xml:space="preserve"> </w:t>
      </w:r>
      <w:r w:rsidR="004E04C7" w:rsidRPr="004E04C7">
        <w:t>%.</w:t>
      </w:r>
      <w:r w:rsidR="004E04C7">
        <w:t xml:space="preserve"> Požadováno je 40 %.</w:t>
      </w:r>
    </w:p>
    <w:p w:rsidR="00F264C7" w:rsidRDefault="004E04C7">
      <w:r>
        <w:t xml:space="preserve">Vyjádřeno hmotností vysbíraných a zrecyklovaných spotřebičů se jedná celkem o </w:t>
      </w:r>
      <w:r w:rsidRPr="004E04C7">
        <w:t>39 554,05 tun</w:t>
      </w:r>
      <w:r>
        <w:t xml:space="preserve">y vysloužilého elektra. Největší podíl - </w:t>
      </w:r>
      <w:r w:rsidRPr="004E04C7">
        <w:t>18 326,264</w:t>
      </w:r>
      <w:r>
        <w:t xml:space="preserve"> tuny – připadá na velké domácí spotřebiče. Další velkou část - </w:t>
      </w:r>
      <w:r w:rsidRPr="004E04C7">
        <w:t>15 710,919</w:t>
      </w:r>
      <w:r>
        <w:t xml:space="preserve"> tuny – tvoří chlazení, </w:t>
      </w:r>
      <w:r w:rsidRPr="004E04C7">
        <w:t>5 502,283</w:t>
      </w:r>
      <w:r>
        <w:t xml:space="preserve"> t se na výsledku podílely malé spotřebiče. Zbytek byly televize, monitory a světelné zdroje.</w:t>
      </w:r>
    </w:p>
    <w:p w:rsidR="004E04C7" w:rsidRDefault="004E04C7">
      <w:r>
        <w:t xml:space="preserve">Podle požadavků zákona o odpadech měl ELEKTROWIN v loňském roce </w:t>
      </w:r>
      <w:r w:rsidRPr="004E04C7">
        <w:t>zřízené místo zpětného odběru v každé obci s počtem obyvatel v</w:t>
      </w:r>
      <w:r>
        <w:t>ětším</w:t>
      </w:r>
      <w:r w:rsidRPr="004E04C7">
        <w:t xml:space="preserve"> než 2000.</w:t>
      </w:r>
      <w:r>
        <w:t xml:space="preserve"> </w:t>
      </w:r>
    </w:p>
    <w:p w:rsidR="00007334" w:rsidRDefault="004E04C7">
      <w:r>
        <w:t xml:space="preserve">Smluvních obcí bylo 1429 s 1522 sběrnými dvory. </w:t>
      </w:r>
      <w:r w:rsidR="00007334">
        <w:t xml:space="preserve">Formou mobilního sběru zajišťovalo likvidaci elektroodpadu 3406 obcí, ELEKTROWIN rozmístil také 800 stacionárních kontejnerů. Sbírat a recyklovat pomáhalo 2451 prodejců a servisů, 1431 hasičských sborů, 3604 škol, pomáhaly i dopravní podniky nebo Vězeňská služba. </w:t>
      </w:r>
    </w:p>
    <w:p w:rsidR="004E04C7" w:rsidRDefault="00007334">
      <w:r>
        <w:t>Celkem měli lidé v roce 2017 možnost předat ELEK</w:t>
      </w:r>
      <w:bookmarkStart w:id="0" w:name="_GoBack"/>
      <w:bookmarkEnd w:id="0"/>
      <w:r>
        <w:t xml:space="preserve">TROWINu staré spotřebiče prostřednictvím 13 925 sběrných míst. To znamená pokrytí </w:t>
      </w:r>
      <w:r w:rsidRPr="00007334">
        <w:t>10 256</w:t>
      </w:r>
      <w:r>
        <w:t> </w:t>
      </w:r>
      <w:r w:rsidRPr="00007334">
        <w:t>455</w:t>
      </w:r>
      <w:r>
        <w:t xml:space="preserve"> obyvatel České republiky. Celkově nás bylo podle statistik k 31. prosinci loňského roku </w:t>
      </w:r>
      <w:r w:rsidRPr="00007334">
        <w:t>10 610</w:t>
      </w:r>
      <w:r>
        <w:t> </w:t>
      </w:r>
      <w:r w:rsidRPr="00007334">
        <w:t>055</w:t>
      </w:r>
      <w:r>
        <w:t xml:space="preserve">. </w:t>
      </w:r>
    </w:p>
    <w:p w:rsidR="00974911" w:rsidRDefault="004879D4">
      <w:r>
        <w:t>Průměrně tedy každý z nás odevzdal loni prostřednictvím ELEKTROWINu zhruba 3,7 kilogramu vysloužilého elektra. V různých krajích byli ale lidé různě aktivní. Měřeno množstvím odevzdaných spotřebičů na obyvatele zvítězil Královéhradecký kraj se 4,85, naopak Praha se 2,98 kg</w:t>
      </w:r>
      <w:r w:rsidR="001E5972">
        <w:t xml:space="preserve"> žebříček uzavírá</w:t>
      </w:r>
      <w:r>
        <w:t>.</w:t>
      </w:r>
    </w:p>
    <w:p w:rsidR="004879D4" w:rsidRPr="004879D4" w:rsidRDefault="004879D4">
      <w:pPr>
        <w:rPr>
          <w:b/>
        </w:rPr>
      </w:pPr>
      <w:r w:rsidRPr="004879D4">
        <w:rPr>
          <w:rFonts w:cs="Arial"/>
          <w:b/>
        </w:rPr>
        <w:t>Zpětný odběr a oddělený sběr v krajích dle výtěžnosti na obyvatele v kg v roce 2017</w:t>
      </w:r>
    </w:p>
    <w:p w:rsidR="004879D4" w:rsidRDefault="004879D4">
      <w:r>
        <w:rPr>
          <w:noProof/>
          <w:lang w:eastAsia="cs-CZ"/>
        </w:rPr>
        <w:drawing>
          <wp:inline distT="0" distB="0" distL="0" distR="0" wp14:anchorId="54B4C656" wp14:editId="3629A623">
            <wp:extent cx="5734050" cy="3280410"/>
            <wp:effectExtent l="0" t="0" r="19050" b="1524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8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C7"/>
    <w:rsid w:val="00007334"/>
    <w:rsid w:val="001E5972"/>
    <w:rsid w:val="004879D4"/>
    <w:rsid w:val="004E04C7"/>
    <w:rsid w:val="00974911"/>
    <w:rsid w:val="00D2721D"/>
    <w:rsid w:val="00F264C7"/>
    <w:rsid w:val="00F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BF30-07F4-4DD9-B563-D4051AC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10ewfile\data\_Provoz\ro&#269;n&#237;%20zpr&#225;va\2017\p&#345;&#237;lohy\podklady\Souhrn%202017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kraje!$B$56</c:f>
              <c:strCache>
                <c:ptCount val="1"/>
                <c:pt idx="0">
                  <c:v>kg EEZ/obyvatele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kraje!$A$57:$A$70</c:f>
              <c:strCache>
                <c:ptCount val="14"/>
                <c:pt idx="0">
                  <c:v>Královéhradecký</c:v>
                </c:pt>
                <c:pt idx="1">
                  <c:v>Zlínský</c:v>
                </c:pt>
                <c:pt idx="2">
                  <c:v>Jihočeský</c:v>
                </c:pt>
                <c:pt idx="3">
                  <c:v>Středočeský</c:v>
                </c:pt>
                <c:pt idx="4">
                  <c:v>Vysočina</c:v>
                </c:pt>
                <c:pt idx="5">
                  <c:v>Plzeňský</c:v>
                </c:pt>
                <c:pt idx="6">
                  <c:v>Liberecký</c:v>
                </c:pt>
                <c:pt idx="7">
                  <c:v>Pardubický</c:v>
                </c:pt>
                <c:pt idx="8">
                  <c:v>Ústecký</c:v>
                </c:pt>
                <c:pt idx="9">
                  <c:v>Olomoucký</c:v>
                </c:pt>
                <c:pt idx="10">
                  <c:v>Jihomoravský</c:v>
                </c:pt>
                <c:pt idx="11">
                  <c:v>Karlovarský</c:v>
                </c:pt>
                <c:pt idx="12">
                  <c:v>Moravskoslezský</c:v>
                </c:pt>
                <c:pt idx="13">
                  <c:v>Hlavní město Praha</c:v>
                </c:pt>
              </c:strCache>
            </c:strRef>
          </c:cat>
          <c:val>
            <c:numRef>
              <c:f>kraje!$B$57:$B$70</c:f>
              <c:numCache>
                <c:formatCode>0.00</c:formatCode>
                <c:ptCount val="14"/>
                <c:pt idx="0">
                  <c:v>4.854364579514229</c:v>
                </c:pt>
                <c:pt idx="1">
                  <c:v>4.6041283294431592</c:v>
                </c:pt>
                <c:pt idx="2">
                  <c:v>4.3128021740898035</c:v>
                </c:pt>
                <c:pt idx="3">
                  <c:v>4.164070608819431</c:v>
                </c:pt>
                <c:pt idx="4">
                  <c:v>4.1649112875008347</c:v>
                </c:pt>
                <c:pt idx="5">
                  <c:v>4.1416170074863681</c:v>
                </c:pt>
                <c:pt idx="6">
                  <c:v>3.986316989737742</c:v>
                </c:pt>
                <c:pt idx="7">
                  <c:v>3.9685724328938785</c:v>
                </c:pt>
                <c:pt idx="8">
                  <c:v>3.4922396569367966</c:v>
                </c:pt>
                <c:pt idx="9">
                  <c:v>3.4643966662297037</c:v>
                </c:pt>
                <c:pt idx="10">
                  <c:v>3.4529554266437592</c:v>
                </c:pt>
                <c:pt idx="11">
                  <c:v>3.0069271566186817</c:v>
                </c:pt>
                <c:pt idx="12">
                  <c:v>2.9984286411641317</c:v>
                </c:pt>
                <c:pt idx="13">
                  <c:v>2.97691603498407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117816"/>
        <c:axId val="169117424"/>
      </c:barChart>
      <c:catAx>
        <c:axId val="16911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9117424"/>
        <c:crosses val="autoZero"/>
        <c:auto val="1"/>
        <c:lblAlgn val="ctr"/>
        <c:lblOffset val="100"/>
        <c:noMultiLvlLbl val="0"/>
      </c:catAx>
      <c:valAx>
        <c:axId val="16911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911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Petr_NB</dc:creator>
  <cp:lastModifiedBy>Marxt Jan</cp:lastModifiedBy>
  <cp:revision>6</cp:revision>
  <dcterms:created xsi:type="dcterms:W3CDTF">2018-04-09T10:39:00Z</dcterms:created>
  <dcterms:modified xsi:type="dcterms:W3CDTF">2018-04-19T12:16:00Z</dcterms:modified>
</cp:coreProperties>
</file>